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B3" w:rsidRPr="00D80A30" w:rsidRDefault="00650AB3" w:rsidP="00D80A30">
      <w:pPr>
        <w:rPr>
          <w:b/>
          <w:bCs/>
        </w:rPr>
      </w:pPr>
      <w:r w:rsidRPr="00D80A30">
        <w:rPr>
          <w:b/>
          <w:bCs/>
        </w:rPr>
        <w:t xml:space="preserve">Ciudadanas y Ciudadanos Integrantes del </w:t>
      </w:r>
    </w:p>
    <w:p w:rsidR="00650AB3" w:rsidRPr="00D80A30" w:rsidRDefault="00650AB3" w:rsidP="00D80A30">
      <w:pPr>
        <w:rPr>
          <w:b/>
          <w:bCs/>
        </w:rPr>
      </w:pPr>
      <w:r w:rsidRPr="00D80A30">
        <w:rPr>
          <w:b/>
          <w:bCs/>
        </w:rPr>
        <w:t>Ayuntamiento Constitucional de</w:t>
      </w:r>
      <w:r w:rsidR="00AA1775">
        <w:rPr>
          <w:b/>
          <w:bCs/>
        </w:rPr>
        <w:t xml:space="preserve"> Tototlán, Jalisco</w:t>
      </w:r>
      <w:r w:rsidRPr="00D80A30">
        <w:rPr>
          <w:b/>
          <w:bCs/>
        </w:rPr>
        <w:t>.</w:t>
      </w:r>
      <w:r w:rsidRPr="00D80A30">
        <w:rPr>
          <w:b/>
          <w:bCs/>
        </w:rPr>
        <w:tab/>
      </w:r>
    </w:p>
    <w:p w:rsidR="00650AB3" w:rsidRPr="00D80A30" w:rsidRDefault="00650AB3" w:rsidP="00D80A30">
      <w:pPr>
        <w:rPr>
          <w:b/>
          <w:bCs/>
        </w:rPr>
      </w:pPr>
      <w:r w:rsidRPr="00D80A30">
        <w:rPr>
          <w:b/>
          <w:bCs/>
        </w:rPr>
        <w:t>Presentes.</w:t>
      </w:r>
    </w:p>
    <w:p w:rsidR="00650AB3" w:rsidRDefault="00650AB3" w:rsidP="00D80A30"/>
    <w:p w:rsidR="00650AB3" w:rsidRDefault="00650AB3" w:rsidP="00D80A30">
      <w:r>
        <w:t xml:space="preserve">Quien suscribe, </w:t>
      </w:r>
      <w:r w:rsidR="001E3420">
        <w:t xml:space="preserve"> </w:t>
      </w:r>
      <w:r w:rsidR="001E3420" w:rsidRPr="001E3420">
        <w:rPr>
          <w:b/>
        </w:rPr>
        <w:t>C. JUAN MANUEL LARA CASILLAS</w:t>
      </w:r>
      <w:r w:rsidR="001E3420">
        <w:t xml:space="preserve">, </w:t>
      </w:r>
      <w:r>
        <w:t>Presidente Municipal de</w:t>
      </w:r>
      <w:r w:rsidR="001E3420">
        <w:t xml:space="preserve"> Tototlán, Jalisco</w:t>
      </w:r>
      <w:r>
        <w:t xml:space="preserve">, </w:t>
      </w:r>
      <w:r w:rsidR="001E3420">
        <w:t xml:space="preserve"> así como Presidente </w:t>
      </w:r>
      <w:r>
        <w:t xml:space="preserve">de la Comisión Edilicia de Gobernación, </w:t>
      </w:r>
      <w:r w:rsidR="001E3420">
        <w:t xml:space="preserve">y </w:t>
      </w:r>
      <w:r>
        <w:t>Reglamentos, en el ejercicio de las facultades que nos confieren los artículos 40 fracción II, 41 fracciones I y II de la Ley del Gobierno y Administración Pública Municipal del Estado de Jalisco, somet</w:t>
      </w:r>
      <w:r w:rsidR="001E3420">
        <w:t>o</w:t>
      </w:r>
      <w:r>
        <w:t xml:space="preserve"> a la consideración de este órgano de gobierno municipal la presente </w:t>
      </w:r>
      <w:r>
        <w:rPr>
          <w:b/>
        </w:rPr>
        <w:t xml:space="preserve">iniciativa de </w:t>
      </w:r>
      <w:r w:rsidR="00E13114">
        <w:rPr>
          <w:b/>
        </w:rPr>
        <w:t>ordenamiento con dispensa, que expide e</w:t>
      </w:r>
      <w:bookmarkStart w:id="0" w:name="_GoBack"/>
      <w:bookmarkEnd w:id="0"/>
      <w:r w:rsidR="005D25AD">
        <w:rPr>
          <w:b/>
        </w:rPr>
        <w:t>l Catálogo de Giros de Bajo Riesgo clasificados de conformidad con el Sistema de Clasificación Industrial de América del Norte</w:t>
      </w:r>
      <w:r>
        <w:rPr>
          <w:b/>
          <w:color w:val="000000"/>
          <w:highlight w:val="white"/>
        </w:rPr>
        <w:t xml:space="preserve">, </w:t>
      </w:r>
      <w:r>
        <w:t>de conformidad con la siguiente:</w:t>
      </w:r>
    </w:p>
    <w:p w:rsidR="00D80A30" w:rsidRDefault="00D80A30" w:rsidP="00D80A30">
      <w:pPr>
        <w:jc w:val="center"/>
        <w:rPr>
          <w:b/>
          <w:bCs/>
        </w:rPr>
      </w:pPr>
    </w:p>
    <w:p w:rsidR="005B74ED" w:rsidRPr="00D80A30" w:rsidRDefault="005B74ED" w:rsidP="00D80A30">
      <w:pPr>
        <w:jc w:val="center"/>
        <w:rPr>
          <w:b/>
          <w:bCs/>
        </w:rPr>
      </w:pPr>
    </w:p>
    <w:p w:rsidR="00D80A30" w:rsidRPr="00D80A30" w:rsidRDefault="00D80A30" w:rsidP="00D80A30">
      <w:pPr>
        <w:jc w:val="center"/>
        <w:rPr>
          <w:b/>
          <w:bCs/>
        </w:rPr>
      </w:pPr>
      <w:r w:rsidRPr="00D80A30">
        <w:rPr>
          <w:b/>
          <w:bCs/>
        </w:rPr>
        <w:t>Exposición de Motivos</w:t>
      </w:r>
    </w:p>
    <w:p w:rsidR="00D80A30" w:rsidRDefault="00D80A30" w:rsidP="00D80A30"/>
    <w:p w:rsidR="00D80A30" w:rsidRDefault="00D80A30" w:rsidP="00D80A30">
      <w: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rsidR="00D80A30" w:rsidRDefault="00D80A30" w:rsidP="00D80A30"/>
    <w:p w:rsidR="00D80A30" w:rsidRDefault="00D80A30" w:rsidP="00D80A30">
      <w:r>
        <w:t xml:space="preserve">Asimismo, el artículo 37 fracción II de la Ley del Gobierno y la Administración Pública Municipal establece que será </w:t>
      </w:r>
      <w:r w:rsidRPr="00D80A30">
        <w:t>obligación de los Ayuntamientos la aprobación y aplicación de su presupuesto de egresos,</w:t>
      </w:r>
      <w:r>
        <w:t xml:space="preserve">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D80A30" w:rsidRDefault="00D80A30" w:rsidP="00D80A30"/>
    <w:p w:rsidR="00D80A30" w:rsidRDefault="00D80A30" w:rsidP="00D80A30">
      <w:r>
        <w:t>Por su parte el artículo 40 de la Ley del Gobierno y Administración Pública Municipal del Estado de Jalisco,</w:t>
      </w:r>
      <w:r w:rsidR="009D7670">
        <w:t xml:space="preserve"> establece como acto administrativo de carácter general las disposiciones administrativas, a efecto de emitir una ordenanza municipal para que sea acatada tanto por las autoridades municipales como para los ciudadanos que se encuentren dentro de la aplicación territorial. </w:t>
      </w:r>
    </w:p>
    <w:p w:rsidR="00A66C4B" w:rsidRDefault="00A66C4B" w:rsidP="00D80A30"/>
    <w:p w:rsidR="00A66C4B" w:rsidRDefault="00A66C4B" w:rsidP="00A66C4B"/>
    <w:p w:rsidR="00A66C4B" w:rsidRDefault="00A66C4B" w:rsidP="00D80A30">
      <w:r w:rsidRPr="00014CCC">
        <w:t xml:space="preserve">Que el 18 de mayo de 2018 se publicó en el Diario Oficial de la Federación la Ley General de Mejora Regulatoria que tiene por objeto establecer los principios y las bases a los que deberán sujetarse los órdenes de gobierno, en el ámbito de sus </w:t>
      </w:r>
      <w:r w:rsidRPr="00014CCC">
        <w:lastRenderedPageBreak/>
        <w:t>respectivas competencias, en materia de mejora regulatoria a la que se deberán adherir los sujetos obligados de la Administración Pública Federal y sus respectivos homólogos de las entidades federativas, los municipios y alcaldías y sus dependencias y entidades</w:t>
      </w:r>
      <w:r>
        <w:t>.</w:t>
      </w:r>
    </w:p>
    <w:p w:rsidR="009D7670" w:rsidRDefault="009D7670" w:rsidP="00D80A30"/>
    <w:p w:rsidR="009D7670" w:rsidRDefault="009D7670" w:rsidP="00D80A30">
      <w:r>
        <w:t>Con fecha 20 de mayo de 2019, el entonces Delegado de la Comisión Nacional de Mejora Regulatoria,</w:t>
      </w:r>
      <w:r w:rsidR="00A66C4B">
        <w:t xml:space="preserve"> emitió los lineamientos</w:t>
      </w:r>
      <w:r w:rsidR="00014CCC" w:rsidRPr="00014CCC">
        <w:t xml:space="preserve"> del Sistema de Apertura Rápida de Empresas (SARE) y del Programa de Reconocimiento y Operación del SARE</w:t>
      </w:r>
      <w:r w:rsidR="00014CCC">
        <w:t>, mismos que fueron publicados en el Diario Oficial de la Federación, el cual entre otras cosas establece la necesidad de contar con un programa de mejora regulatoria dentro del país por encontrarse contemplado dentro del artículo 25 de la Constitución Política de los Estados Unidos Mexicanos.</w:t>
      </w:r>
    </w:p>
    <w:p w:rsidR="00014CCC" w:rsidRDefault="00014CCC" w:rsidP="00D80A30"/>
    <w:p w:rsidR="00014CCC" w:rsidRDefault="00014CCC" w:rsidP="00D80A30">
      <w:r>
        <w:t>E</w:t>
      </w:r>
      <w:r w:rsidRPr="00014CCC">
        <w:t>l Sistema de Apertura Rápida de Empresas y el Programa de Reconocimiento y Operación del Sistema de Apertura Rápida de Empresas son herramientas que buscan facilitar el ambiente para hacer negocios y facilitar el establecimiento y funcionamiento de las empresas según su nivel de riesgo, considerando su tamaño, la rentabilidad social, la ubicación en zonas de atención prioritaria, así como otras características relevantes para el país</w:t>
      </w:r>
      <w:r w:rsidR="00F53A2C">
        <w:t>.</w:t>
      </w:r>
    </w:p>
    <w:p w:rsidR="00F53A2C" w:rsidRDefault="00F53A2C" w:rsidP="00D80A30"/>
    <w:p w:rsidR="00F53A2C" w:rsidRDefault="00F53A2C" w:rsidP="00D80A30">
      <w:r>
        <w:t xml:space="preserve">El Instituto Nacional de Estadística y Geografía, publicó el 10 de julio de 2009 en el Diario Oficial de la Federación el Acuerdo para el uso del Sistema de Clasificación Industrial de </w:t>
      </w:r>
      <w:r w:rsidR="00C37A5E">
        <w:t>América</w:t>
      </w:r>
      <w:r>
        <w:t xml:space="preserve"> del Norte (SCIAN) en l</w:t>
      </w:r>
      <w:r w:rsidRPr="00F53A2C">
        <w:t>a recopilación, análisis y presentación de estadísticas económicas y sus actualizaciones, como clasificador obligatorio para las Unidades del Estado que generen u obtengan estadísticas económicas a través del Sistema Nacional de Información Estadística y Geográfica, substituyendo a la Clasificación Mexicana de Actividades y Productos</w:t>
      </w:r>
      <w:r>
        <w:t>.</w:t>
      </w:r>
    </w:p>
    <w:p w:rsidR="00F53A2C" w:rsidRDefault="00F53A2C" w:rsidP="00D80A30"/>
    <w:p w:rsidR="009D28A4" w:rsidRDefault="00F53A2C" w:rsidP="00D80A30">
      <w:r>
        <w:t>El SCIAN antes mencionado cuenta con un total de 1,059 giros o clases de actividades económicas agrupados</w:t>
      </w:r>
      <w:r w:rsidR="00A66C4B">
        <w:t>,</w:t>
      </w:r>
      <w:r>
        <w:t xml:space="preserve"> en el cual 42% corresponden a actividades de bajo riesgo susceptibles</w:t>
      </w:r>
      <w:r w:rsidR="00A66C4B">
        <w:t xml:space="preserve"> de ser desarrolladas por las </w:t>
      </w:r>
      <w:proofErr w:type="spellStart"/>
      <w:r w:rsidR="00A66C4B">
        <w:t>PyME</w:t>
      </w:r>
      <w:r>
        <w:t>S</w:t>
      </w:r>
      <w:proofErr w:type="spellEnd"/>
      <w:r>
        <w:t xml:space="preserve"> de México.</w:t>
      </w:r>
    </w:p>
    <w:p w:rsidR="009D28A4" w:rsidRDefault="009D28A4" w:rsidP="00D80A30"/>
    <w:p w:rsidR="009D28A4" w:rsidRDefault="009D28A4" w:rsidP="009D28A4">
      <w:r w:rsidRPr="00A66C4B">
        <w:t xml:space="preserve">Ahora, en lo que respecta al municipio, actualmente se tiene identificado que para la emisión de una licencia de negocio es necesario o se emplean alrededor de 4 formatos distintos, hay 5 trámites relacionados, 10 requisitos, los costos dependían del giro; y todos son inherentes o necesarios para poder tramitar la licencia de negocio. En cuanto a los tiempos e interacciones se tiene identificado que se requieren al menos 4 visitas por parte de un ciudadano para concluir el trámite y poder obtener su licencia de negocio, lo que se traduce en un tiempo aproximado de 30 días para que un ciudadano culmine de inicio a fin su trámite para poder </w:t>
      </w:r>
      <w:proofErr w:type="spellStart"/>
      <w:r w:rsidRPr="00A66C4B">
        <w:t>aperturar</w:t>
      </w:r>
      <w:proofErr w:type="spellEnd"/>
      <w:r w:rsidRPr="00A66C4B">
        <w:t xml:space="preserve"> su negocio.</w:t>
      </w:r>
    </w:p>
    <w:p w:rsidR="00413301" w:rsidRDefault="00413301" w:rsidP="009D28A4"/>
    <w:p w:rsidR="00413301" w:rsidRDefault="00413301" w:rsidP="009D28A4"/>
    <w:p w:rsidR="00413301" w:rsidRDefault="00413301" w:rsidP="009D28A4"/>
    <w:p w:rsidR="00413301" w:rsidRDefault="00413301" w:rsidP="009D28A4"/>
    <w:p w:rsidR="00F53A2C" w:rsidRDefault="00F53A2C" w:rsidP="00D80A30"/>
    <w:p w:rsidR="00F53A2C" w:rsidRDefault="00A66C4B" w:rsidP="00D80A30">
      <w:r>
        <w:lastRenderedPageBreak/>
        <w:t>En ese sentido, d</w:t>
      </w:r>
      <w:r w:rsidR="00F53A2C">
        <w:t>entro de l</w:t>
      </w:r>
      <w:r>
        <w:t xml:space="preserve">os lineamientos emitidos el día 20 de mayo del 2019 relativo al Sistema de Apertura Rápida de Empresas, los municipios interesados deben de cumplir, entre otras cosas, con tener una ventanilla única, creación de un Formato Único de Apertura (FUA), resolver en máximo 3 días hábiles las solicitudes de licencias de negocio, </w:t>
      </w:r>
      <w:r w:rsidR="009D28A4">
        <w:t>catálogo</w:t>
      </w:r>
      <w:r>
        <w:t xml:space="preserve"> de giro de bajo riesgo, manual de operacióninterna, y que todo lo anterior este sustentado </w:t>
      </w:r>
      <w:r w:rsidR="009D28A4">
        <w:t>en el marco normativo del propio municipio.</w:t>
      </w:r>
    </w:p>
    <w:p w:rsidR="00CC20D8" w:rsidRDefault="00CC20D8" w:rsidP="00D80A30"/>
    <w:p w:rsidR="00A75037" w:rsidRDefault="009D28A4" w:rsidP="00D80A30">
      <w:r>
        <w:t>Dicho lo anterior, c</w:t>
      </w:r>
      <w:r w:rsidR="00412C31">
        <w:t>on la aprobación de los</w:t>
      </w:r>
      <w:r w:rsidR="00A75037">
        <w:t xml:space="preserve"> reglamento</w:t>
      </w:r>
      <w:r w:rsidR="00412C31">
        <w:t>s</w:t>
      </w:r>
      <w:r>
        <w:t>en materia de</w:t>
      </w:r>
      <w:r w:rsidR="00412C31">
        <w:t xml:space="preserve"> mejora regulatoria e innovación y gobierno</w:t>
      </w:r>
      <w:r>
        <w:t xml:space="preserve"> digital</w:t>
      </w:r>
      <w:r w:rsidR="00A75037">
        <w:t xml:space="preserve"> se prevé que con el formato FUA</w:t>
      </w:r>
      <w:r>
        <w:t xml:space="preserve"> todo lo señalado relativo a los formatos que se requieren para </w:t>
      </w:r>
      <w:proofErr w:type="spellStart"/>
      <w:r>
        <w:t>aperturar</w:t>
      </w:r>
      <w:proofErr w:type="spellEnd"/>
      <w:r>
        <w:t xml:space="preserve"> un negocio </w:t>
      </w:r>
      <w:r w:rsidR="00412C31">
        <w:t>se disminuya a solo uno</w:t>
      </w:r>
      <w:r w:rsidR="00A75037">
        <w:t xml:space="preserve">, </w:t>
      </w:r>
      <w:r>
        <w:t xml:space="preserve">las visitas a </w:t>
      </w:r>
      <w:r w:rsidR="00A75037">
        <w:t xml:space="preserve">un máximo de 2 y </w:t>
      </w:r>
      <w:r>
        <w:t xml:space="preserve">los tiempos de resolución a un </w:t>
      </w:r>
      <w:r w:rsidR="00A75037">
        <w:t xml:space="preserve">plazo máximo de 72 horas para poder </w:t>
      </w:r>
      <w:proofErr w:type="spellStart"/>
      <w:r w:rsidR="00A75037">
        <w:t>aperturar</w:t>
      </w:r>
      <w:proofErr w:type="spellEnd"/>
      <w:r w:rsidR="00A75037">
        <w:t xml:space="preserve"> un negocio.</w:t>
      </w:r>
      <w:r>
        <w:t xml:space="preserve"> Asimismo, en virtud de que en dicha reglamentación ya se prevé la Ventanilla Única SARE, el manual de operación interno de dicha ventanilla y los otros requerimientos ya señalados en el presente párrafo, lo consecuente es someter a consideración y en su caso, aprobar un catálogo de giros de bajo riesgo para efectos de cumplir con todos los lineamientos establecidos para obtener la certificación SARE.</w:t>
      </w:r>
    </w:p>
    <w:p w:rsidR="00C37A5E" w:rsidRDefault="00C37A5E" w:rsidP="00D80A30"/>
    <w:p w:rsidR="009D28A4" w:rsidRDefault="009D28A4" w:rsidP="009D28A4">
      <w:r>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 someto a su consideración el siguiente:</w:t>
      </w:r>
    </w:p>
    <w:p w:rsidR="009D28A4" w:rsidRDefault="009D28A4" w:rsidP="009D28A4"/>
    <w:p w:rsidR="009D28A4" w:rsidRPr="005F2BC6" w:rsidRDefault="005F2BC6" w:rsidP="009D28A4">
      <w:pPr>
        <w:rPr>
          <w:b/>
        </w:rPr>
      </w:pPr>
      <w:r w:rsidRPr="005F2BC6">
        <w:rPr>
          <w:b/>
        </w:rPr>
        <w:t>Catálogo de Giros De Bajo Riesgo clasificados de conformidad con el Sistema de Clasificación Industrial de América del Norte:</w:t>
      </w:r>
    </w:p>
    <w:p w:rsidR="00CE0C58" w:rsidRDefault="00CE0C58" w:rsidP="00C37A5E">
      <w:pPr>
        <w:rPr>
          <w:color w:val="2F2F2F"/>
          <w:sz w:val="22"/>
          <w:szCs w:val="22"/>
          <w:shd w:val="clear" w:color="auto" w:fill="FFFFFF"/>
        </w:rPr>
      </w:pPr>
    </w:p>
    <w:tbl>
      <w:tblPr>
        <w:tblW w:w="8926" w:type="dxa"/>
        <w:tblCellMar>
          <w:left w:w="70" w:type="dxa"/>
          <w:right w:w="70" w:type="dxa"/>
        </w:tblCellMar>
        <w:tblLook w:val="04A0" w:firstRow="1" w:lastRow="0" w:firstColumn="1" w:lastColumn="0" w:noHBand="0" w:noVBand="1"/>
      </w:tblPr>
      <w:tblGrid>
        <w:gridCol w:w="800"/>
        <w:gridCol w:w="1060"/>
        <w:gridCol w:w="7066"/>
      </w:tblGrid>
      <w:tr w:rsidR="00412C31" w:rsidRPr="00412C31" w:rsidTr="00412C31">
        <w:trPr>
          <w:trHeight w:val="300"/>
        </w:trPr>
        <w:tc>
          <w:tcPr>
            <w:tcW w:w="800" w:type="dxa"/>
            <w:tcBorders>
              <w:top w:val="single" w:sz="4" w:space="0" w:color="000000"/>
              <w:left w:val="single" w:sz="4" w:space="0" w:color="000000"/>
              <w:bottom w:val="single" w:sz="4" w:space="0" w:color="000000"/>
              <w:right w:val="single" w:sz="4" w:space="0" w:color="000000"/>
            </w:tcBorders>
            <w:shd w:val="clear" w:color="EEECE1" w:fill="EEECE1"/>
            <w:vAlign w:val="center"/>
            <w:hideMark/>
          </w:tcPr>
          <w:p w:rsidR="00412C31" w:rsidRPr="00412C31" w:rsidRDefault="00412C31" w:rsidP="00412C31">
            <w:pPr>
              <w:jc w:val="center"/>
              <w:rPr>
                <w:rFonts w:eastAsia="Times New Roman"/>
                <w:b/>
                <w:bCs/>
                <w:i/>
                <w:iCs/>
                <w:color w:val="000000"/>
                <w:sz w:val="20"/>
                <w:szCs w:val="20"/>
              </w:rPr>
            </w:pPr>
            <w:r w:rsidRPr="00412C31">
              <w:rPr>
                <w:rFonts w:eastAsia="Times New Roman"/>
                <w:b/>
                <w:bCs/>
                <w:i/>
                <w:iCs/>
                <w:color w:val="000000"/>
                <w:sz w:val="20"/>
                <w:szCs w:val="20"/>
              </w:rPr>
              <w:t>#</w:t>
            </w:r>
          </w:p>
        </w:tc>
        <w:tc>
          <w:tcPr>
            <w:tcW w:w="1060" w:type="dxa"/>
            <w:tcBorders>
              <w:top w:val="single" w:sz="4" w:space="0" w:color="000000"/>
              <w:left w:val="nil"/>
              <w:bottom w:val="single" w:sz="4" w:space="0" w:color="000000"/>
              <w:right w:val="single" w:sz="4" w:space="0" w:color="000000"/>
            </w:tcBorders>
            <w:shd w:val="clear" w:color="EEECE1" w:fill="EEECE1"/>
            <w:vAlign w:val="center"/>
            <w:hideMark/>
          </w:tcPr>
          <w:p w:rsidR="00412C31" w:rsidRPr="00412C31" w:rsidRDefault="00412C31" w:rsidP="00412C31">
            <w:pPr>
              <w:jc w:val="center"/>
              <w:rPr>
                <w:rFonts w:eastAsia="Times New Roman"/>
                <w:b/>
                <w:bCs/>
                <w:color w:val="000000"/>
                <w:sz w:val="20"/>
                <w:szCs w:val="20"/>
              </w:rPr>
            </w:pPr>
            <w:r w:rsidRPr="00412C31">
              <w:rPr>
                <w:rFonts w:eastAsia="Times New Roman"/>
                <w:b/>
                <w:bCs/>
                <w:color w:val="000000"/>
                <w:sz w:val="20"/>
                <w:szCs w:val="20"/>
              </w:rPr>
              <w:t>Código</w:t>
            </w:r>
          </w:p>
        </w:tc>
        <w:tc>
          <w:tcPr>
            <w:tcW w:w="7066" w:type="dxa"/>
            <w:tcBorders>
              <w:top w:val="single" w:sz="4" w:space="0" w:color="000000"/>
              <w:left w:val="nil"/>
              <w:bottom w:val="single" w:sz="4" w:space="0" w:color="000000"/>
              <w:right w:val="single" w:sz="4" w:space="0" w:color="000000"/>
            </w:tcBorders>
            <w:shd w:val="clear" w:color="EEECE1" w:fill="EEECE1"/>
            <w:vAlign w:val="center"/>
            <w:hideMark/>
          </w:tcPr>
          <w:p w:rsidR="00412C31" w:rsidRPr="00412C31" w:rsidRDefault="00412C31" w:rsidP="00412C31">
            <w:pPr>
              <w:jc w:val="center"/>
              <w:rPr>
                <w:rFonts w:eastAsia="Times New Roman"/>
                <w:b/>
                <w:bCs/>
                <w:color w:val="000000"/>
                <w:sz w:val="20"/>
                <w:szCs w:val="20"/>
              </w:rPr>
            </w:pPr>
            <w:r w:rsidRPr="00412C31">
              <w:rPr>
                <w:rFonts w:eastAsia="Times New Roman"/>
                <w:b/>
                <w:bCs/>
                <w:color w:val="000000"/>
                <w:sz w:val="20"/>
                <w:szCs w:val="20"/>
              </w:rPr>
              <w:t>Nombre SCIAN 2018</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soya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cártamo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girasol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anual de otras semillas oleaginosas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frijol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garbanzo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otras leguminosas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trigo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111151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maíz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111152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maíz forrajero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111160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arroz</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sorgo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avena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cebada grano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sorgo forrajero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avena forrajera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cereales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jitomate o tomate rojo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chile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cebolla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melón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tomate verde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papa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111217</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calabaza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111218</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sandía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otras hortalizas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naranja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limón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111329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cítricos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café</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plátano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mango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aguacate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uva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manzana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111337</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cacao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111338</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coco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frutales no cítricos y de nueces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jitomate en invernaderos y otras estructuras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fresa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41</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bayas (</w:t>
            </w:r>
            <w:proofErr w:type="spellStart"/>
            <w:r w:rsidRPr="00412C31">
              <w:rPr>
                <w:rFonts w:eastAsia="Times New Roman"/>
                <w:sz w:val="20"/>
                <w:szCs w:val="20"/>
              </w:rPr>
              <w:t>berries</w:t>
            </w:r>
            <w:proofErr w:type="spellEnd"/>
            <w:r w:rsidRPr="00412C31">
              <w:rPr>
                <w:rFonts w:eastAsia="Times New Roman"/>
                <w:sz w:val="20"/>
                <w:szCs w:val="20"/>
              </w:rPr>
              <w:t>) en invernaderos y otras estructuras agrícolas protegidas, excepto fresas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111414</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chile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111415</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manzana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111416</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Cultivo de pepino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Cultivo de otros productos alimenticios en invernaderos y otras estructuras agrícolas protegidas </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Floricultura a cielo abierto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Floricultura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árboles de ciclo productivo de 10 años o menos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cultivos no alimenticios en invernaderos y otras estructuras agrícolas protegidas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tabaco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algodón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caña de azúcar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111941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alfalfa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111942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pastos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agaves alcoholeros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cacahuate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57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Actividades agrícolas combinadas con explotación de animales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cultivos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de carne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de leche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112131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conjunta de leche y carne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112139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otros propósitos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porcinos en granja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porcinos en traspatio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gallinas para la producción de huevo fértil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gallinas para la producción de huevo para plato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pollos para la producción de carne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guajolotes o pavos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Producción de aves en incubadora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otras aves para producción de carne y huevo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ovinos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112420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caprinos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112511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proofErr w:type="spellStart"/>
            <w:r w:rsidRPr="00412C31">
              <w:rPr>
                <w:rFonts w:eastAsia="Times New Roman"/>
                <w:color w:val="000000"/>
                <w:sz w:val="20"/>
                <w:szCs w:val="20"/>
              </w:rPr>
              <w:t>Camaronicultura</w:t>
            </w:r>
            <w:proofErr w:type="spellEnd"/>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112512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 xml:space="preserve">Piscicultura y otra acuicultura, excepto </w:t>
            </w:r>
            <w:proofErr w:type="spellStart"/>
            <w:r w:rsidRPr="00412C31">
              <w:rPr>
                <w:rFonts w:eastAsia="Times New Roman"/>
                <w:sz w:val="20"/>
                <w:szCs w:val="20"/>
              </w:rPr>
              <w:t>camaronicultura</w:t>
            </w:r>
            <w:proofErr w:type="spellEnd"/>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Apicultura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112920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Explotación de équidos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Cunicultura y explotación de animales con pelaje fino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112999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Explotación de otros animales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Silvicultura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Viveros forestales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Recolección de productos forestales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fumigación agrícola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Despepite de algodón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Beneficio de productos agrícolas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la agricultura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relacionados con la cría y explotación de animales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relacionados con el aprovechamiento forestal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213119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la minería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236113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edificación residencial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236212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edificación de naves y plantas industriales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91</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236222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edificación  de  inmuebles  comerciales  y  de servicios</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237113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para el tratamiento, distribución y suministro de agua, drenaje y riego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237123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para petróleo y gas</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94</w:t>
            </w:r>
          </w:p>
        </w:tc>
        <w:tc>
          <w:tcPr>
            <w:tcW w:w="1060" w:type="dxa"/>
            <w:tcBorders>
              <w:top w:val="nil"/>
              <w:left w:val="nil"/>
              <w:bottom w:val="single" w:sz="4" w:space="0" w:color="000000"/>
              <w:right w:val="single" w:sz="4" w:space="0" w:color="000000"/>
            </w:tcBorders>
            <w:shd w:val="clear" w:color="000000" w:fill="B8CCE4"/>
            <w:noWrap/>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237133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de generación y conducción de energía eléctrica y de obras para telecomunicaciones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237994</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otras obras de ingeniería civil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238320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Trabajos de pintura y otros cubrimientos de paredes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97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Colocación de pisos flexibles y de madera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238340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Colocación de pisos cerámicos y azulejos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238350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Realización de trabajos de carpintería en el lugar de la construcción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311211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Beneficio del arroz</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101</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311230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cereales para el desayuno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311311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azúcar de caña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311319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otros azúcares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311340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dulces, chicles y productos de confitería que no sean de chocolate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311350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chocolate y productos de chocolate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311423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Conservación de guisos y otros alimentos preparados por procesos distintos a la congelación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311520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helados y paletas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311812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Panificación tradicional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botanas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Beneficio del café</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café instantáneo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311924</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Preparación y envasado de té</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311940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condimentos y aderezos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gelatinas y otros postres en polvo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311993</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alimentos frescos para consumo inmediato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Elaboración de otros alimentos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313310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Acabado de productos textiles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cortinas, blancos y similares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costales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productos de textiles recubiertos y de materiales sucedáneos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bordado y deshilado de productos textiles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prendas de vestir de cuero, piel y materiales sucedáneos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315225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prendas de vestir sobre medida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315991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sombreros y gorras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315999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otros accesorios y prendas de vestir no clasificados en otra parte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Comercio al por menor en tiendas de abarrotes, ultramarinos y misceláneas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Comercio al por menor de carnes rojas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carne de aves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pescados y mariscos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frutas y verduras frescas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semillas y granos alimenticios, especias y chiles secos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461150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leche, otros productos lácteos y embutidos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461160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dulces y materias primas para repostería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461170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paletas de hielo y helados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alimentos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136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461213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bebidas no alcohólicas y hielo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461220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cigarros, puros y tabaco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supermercados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Comercio al por menor en </w:t>
            </w:r>
            <w:proofErr w:type="spellStart"/>
            <w:r w:rsidRPr="00412C31">
              <w:rPr>
                <w:rFonts w:eastAsia="Times New Roman"/>
                <w:color w:val="000000"/>
                <w:sz w:val="20"/>
                <w:szCs w:val="20"/>
              </w:rPr>
              <w:t>minisupers</w:t>
            </w:r>
            <w:proofErr w:type="spellEnd"/>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tiendas departamentales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telas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blancos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mercería y bonetería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excepto de bebé y lencería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de bebé</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lencería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disfraces, vestimenta regional y vestidos de novia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Comercio al por menor de bisutería y accesorios de vestir </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de cuero y piel y de otros artículos de estos materiales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463217</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pañales desechables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463218</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sombreros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calzado</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productos naturistas, medicamentos homeopáticos y de complementos alimenticios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lentes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ortopédicos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perfumería y cosméticos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joyería y relojes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discos y casetes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juguetes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bicicletas y triciclos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equipo y material fotográfico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y aparatos deportivos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instrumentos musicales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papelería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libros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revistas y periódicos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mascotas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regalos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religiosos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desechables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tiendas de artesanías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artículos de uso personal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muebles para el hogar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electrodomésticos menores y aparatos de línea blanca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muebles para jardín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176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cristalería, loza y utensilios de cocina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mobiliario, equipo y accesorios de cómputo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teléfonos y otros aparatos de comunicación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alfombras, cortinas, tapices y similares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plantas y flores naturales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antigüedades y obras de arte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lámparas ornamentales y candiles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artículos para la decoración de interiores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usados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ferreterías y tlapalerías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pisos y recubrimientos cerámicos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pintura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vidrios y espejos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para la limpieza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materiales para la construcción en tiendas de autoservicio especializadas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467117</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para albercas y otros artículos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partes y refacciones nuevas para automóviles, camionetas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partes y refacciones usadas para automóviles, camionetas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llantas y cámaras para automóviles, camionetas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468420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aceites y grasas lubricantes, aditivos y similares para vehículos de motor</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469110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Comercio al por menor exclusivamente a través de Internet, y catálogos impresos, televisión y similares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484210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mudanzas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488390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el transporte por agua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grúa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centrales camioneras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488493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báscula para el transporte y otros servicios relacionados con el transporte por carretera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488990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el transporte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492110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mensajería y paquetería foránea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492210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mensajería y paquetería local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493119</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de almacenamiento general sin instalaciones especializadas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493130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Almacenamiento de productos agrícolas que no requieren refrigeración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511141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Edición de directorios y de listas de correo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511191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Edición de otros materiales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511192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Edición de otros materiales integrada con la impresión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511210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Edición de software y edición de software integrada con la reproducción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Distribución de películas y de otros materiales audiovisuales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212</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512190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Servicios de postproducción y otros servicios para la industria fílmica y del video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213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Editoras de música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214</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512240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Grabación  de  discos  compactos  (CD)  y  de  video  digital (DVD) o casetes musicales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215</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512250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Productoras y distribuidoras discográficas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216</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512290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de grabación del sonido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Transmisión de programas de radio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Transmisión de programas de televisión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515210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Producción de programación de canales para sistemas de televisión por cable o satelitales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518210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Procesamiento electrónico de información, hospedaje y otros servicios relacionados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noticiosas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Bibliotecas y archivos del sector privado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Bibliotecas y archivos del sector público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Edición y difusión de contenido exclusivamente a través de internet y servicios de búsqueda en la red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suministro de información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Compañías de seguros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Fondos de aseguramiento campesino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Compañías afianzadoras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Agentes, ajustadores y gestores de seguros y fianzas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524220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Administración de fondos para el retiro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525210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Fondos de inversión </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oficinas y locales comerciales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531116</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edificios industriales dentro de un parque industrial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otros bienes raíces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Inmobiliarias y corredores de bienes raíces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bienes raíces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531319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relacionados con los servicios inmobiliarios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automóviles sin chofer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camiones de carga sin chofer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autobuses, minibuses y remolques sin chofer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aparatos eléctricos y electrónicos para el hogar y personales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prendas de vestir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mesas, sillas, vajillas y similares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Alquiler de otros artículos para el hogar y personales </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Centros generales de alquiler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equipo de cómputo y de otras máquinas y mobiliario de oficina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maquinaria y equipo agropecuario, pesquero y para la industria manufacturera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532492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maquinaria y equipo para mover, levantar y acomodar materiales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249</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533110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Servicios   de   alquiler   de   marcas   registradas,   patentes   y franquicias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Bufetes jurídicos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251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Notarías públicas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apoyo para efectuar trámites legales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contabilidad y auditoría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541219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relacionados con la contabilidad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arquitectura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arquitectura de paisaje y urbanismo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ingeniería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dibujo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541350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inspección de edificios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541360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levantamiento geofísico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y decoración de interiores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industrial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gráfico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de modas y otros diseños especializados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541510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diseño de sistemas de cómputo y servicios relacionados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consultoría en administración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consultoría en medio ambiente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consultoría científica y técnica</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541711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científica y desarrollo en ciencias naturales y exactas, ingeniería, y ciencias de la vida, prestados por el sector privado</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541721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científica y desarrollo en ciencias sociales y humanidades, prestados por el sector privado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publicidad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relaciones públicas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compra de medios a petición del cliente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representación de medios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541850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anuncios publicitarios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541860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correo directo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rotulación y otros servicios de publicidad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de mercados y encuestas de opinión pública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fotografía y videograbación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traducción e interpretación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541941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veterinarios para mascotas prestados por el sector privado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541943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veterinarios para la ganadería prestados por el sector privado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profesionales, científicos y técnicos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negocios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combinados de apoyo en instalaciones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561320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empleo temporal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561330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Suministro de personal permanente</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preparación de documentos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recepción de llamadas telefónicas y promoción por teléfono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561431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fotocopiado, fax y afines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291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cobranza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561450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Despachos de investigación de solvencia financiera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apoyo secretarial y similares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viajes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Organización de excursiones y paquetes turísticos para agencias de viajes (Operadores de tours)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reservaciones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561620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protección y custodia mediante el monitoreo de sistemas de seguridad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limpieza de inmuebles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limpieza de tapicería, alfombras y muebles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limpieza</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empacado y etiquetado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Organizadores de convenciones y ferias comerciales e industriales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561990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apoyo a los negocios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611691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profesores particulares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624211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alimentación comunitarios prestados por el sector privado</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624311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capacitación para el trabajo prestados por el sector privado para personas desempleadas, subempleadas o con discapacidad</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711211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Deportistas profesionales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711212</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Equipos deportivos profesionales</w:t>
            </w:r>
          </w:p>
        </w:tc>
      </w:tr>
      <w:tr w:rsidR="00412C31" w:rsidRPr="00412C31"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309</w:t>
            </w:r>
          </w:p>
        </w:tc>
        <w:tc>
          <w:tcPr>
            <w:tcW w:w="1060" w:type="dxa"/>
            <w:tcBorders>
              <w:top w:val="nil"/>
              <w:left w:val="nil"/>
              <w:bottom w:val="single" w:sz="4" w:space="0" w:color="000000"/>
              <w:right w:val="single" w:sz="4" w:space="0" w:color="000000"/>
            </w:tcBorders>
            <w:shd w:val="clear" w:color="000000" w:fill="B8CCE4"/>
            <w:noWrap/>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711320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Promotores de espectáculos artísticos, culturales, deportivos y similares que no cuentan con instalaciones para presentarlos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711510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Artistas, escritores y técnicos independientes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713291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Venta de billetes de lotería, pronósticos deportivos y otros boletos de sorteo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722310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comedor para empresas e instituciones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722330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preparación de alimentos en unidades móviles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mecánica en general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del sistema eléctrico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Rectificación de partes de motor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transmisiones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811115</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suspensiones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811122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Tapicería de automóviles y camiones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811191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menor de llantas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811211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equipo electrónico de uso doméstico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811219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otro equipo electrónico y de equipo de precisión</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811311</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agropecuario y forestal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industrial</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para mover, levantar y acomodar materiales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811314</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comercial y de servicios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327</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aparatos eléctricos para el hogar y personales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328</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tapicería de muebles para el hogar</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329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calzado y otros artículos de piel y cuero</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330</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811491</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Cerrajerías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811492</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motocicletas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811493</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bicicletas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333</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811499</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otros artículos para el hogar y personales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Salones y clínicas de belleza y peluquerías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335</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812130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Sanitarios públicos y </w:t>
            </w:r>
            <w:proofErr w:type="spellStart"/>
            <w:r w:rsidRPr="00412C31">
              <w:rPr>
                <w:rFonts w:eastAsia="Times New Roman"/>
                <w:color w:val="000000"/>
                <w:sz w:val="20"/>
                <w:szCs w:val="20"/>
              </w:rPr>
              <w:t>bolerías</w:t>
            </w:r>
            <w:proofErr w:type="spellEnd"/>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336</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812910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revelado e impresión de fotografías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337</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812990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Otros servicios personales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338</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813110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Asociaciones, organizaciones y cámaras de productores, comerciantes y prestadores de servicios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339</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813120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laborales y sindicales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340</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813130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de profesionistas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341</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813140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regulatorias de actividades recreativas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342</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813210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religiosas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343</w:t>
            </w:r>
          </w:p>
        </w:tc>
        <w:tc>
          <w:tcPr>
            <w:tcW w:w="1060" w:type="dxa"/>
            <w:tcBorders>
              <w:top w:val="nil"/>
              <w:left w:val="nil"/>
              <w:bottom w:val="single" w:sz="4" w:space="0" w:color="000000"/>
              <w:right w:val="single" w:sz="4" w:space="0" w:color="000000"/>
            </w:tcBorders>
            <w:shd w:val="clear" w:color="000000" w:fill="B8CCE4"/>
            <w:noWrap/>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813230</w:t>
            </w:r>
          </w:p>
        </w:tc>
        <w:tc>
          <w:tcPr>
            <w:tcW w:w="7066" w:type="dxa"/>
            <w:tcBorders>
              <w:top w:val="nil"/>
              <w:left w:val="nil"/>
              <w:bottom w:val="single" w:sz="4" w:space="0" w:color="000000"/>
              <w:right w:val="single" w:sz="4" w:space="0" w:color="000000"/>
            </w:tcBorders>
            <w:shd w:val="clear" w:color="000000" w:fill="B8CCE4"/>
            <w:hideMark/>
          </w:tcPr>
          <w:p w:rsidR="00412C31" w:rsidRPr="00412C31" w:rsidRDefault="00412C31" w:rsidP="00412C31">
            <w:pPr>
              <w:jc w:val="left"/>
              <w:rPr>
                <w:rFonts w:eastAsia="Times New Roman"/>
                <w:sz w:val="20"/>
                <w:szCs w:val="20"/>
              </w:rPr>
            </w:pPr>
            <w:r w:rsidRPr="00412C31">
              <w:rPr>
                <w:rFonts w:eastAsia="Times New Roman"/>
                <w:sz w:val="20"/>
                <w:szCs w:val="20"/>
              </w:rPr>
              <w:t>Asociaciones y organizaciones civiles</w:t>
            </w:r>
          </w:p>
        </w:tc>
      </w:tr>
      <w:tr w:rsidR="00412C31" w:rsidRPr="00412C31"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344</w:t>
            </w:r>
          </w:p>
        </w:tc>
        <w:tc>
          <w:tcPr>
            <w:tcW w:w="1060"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814110</w:t>
            </w:r>
          </w:p>
        </w:tc>
        <w:tc>
          <w:tcPr>
            <w:tcW w:w="7066" w:type="dxa"/>
            <w:tcBorders>
              <w:top w:val="nil"/>
              <w:left w:val="nil"/>
              <w:bottom w:val="single" w:sz="4" w:space="0" w:color="000000"/>
              <w:right w:val="single" w:sz="4" w:space="0" w:color="000000"/>
            </w:tcBorders>
            <w:shd w:val="clear" w:color="B8CCE4" w:fill="B8CCE4"/>
            <w:vAlign w:val="center"/>
            <w:hideMark/>
          </w:tcPr>
          <w:p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Hogares con empleados domésticos</w:t>
            </w:r>
          </w:p>
        </w:tc>
      </w:tr>
    </w:tbl>
    <w:p w:rsidR="00CE0C58" w:rsidRDefault="00CE0C58" w:rsidP="00C37A5E">
      <w:pPr>
        <w:rPr>
          <w:sz w:val="22"/>
          <w:szCs w:val="22"/>
        </w:rPr>
      </w:pPr>
    </w:p>
    <w:p w:rsidR="0014553F" w:rsidRPr="009C386B" w:rsidRDefault="009C386B" w:rsidP="005F2BC6">
      <w:r w:rsidRPr="009C386B">
        <w:rPr>
          <w:color w:val="2F2F2F"/>
          <w:shd w:val="clear" w:color="auto" w:fill="FFFFFF"/>
        </w:rPr>
        <w:t>Publíquese</w:t>
      </w:r>
      <w:r w:rsidR="005F2BC6" w:rsidRPr="009C386B">
        <w:rPr>
          <w:color w:val="2F2F2F"/>
          <w:shd w:val="clear" w:color="auto" w:fill="FFFFFF"/>
        </w:rPr>
        <w:t xml:space="preserve"> en la página de internet de la autoridad municipal competente para la emisión de licencias de negocio las actividades económicas del presente catálogo de giros de bajo riesgo reconocidas para la operación de empresas de bajo riesgo tramitadas a través de la ventanilla del Sistema de Apertura Rápida de Empresas.</w:t>
      </w:r>
    </w:p>
    <w:p w:rsidR="00C37A5E" w:rsidRDefault="00C37A5E" w:rsidP="00C37A5E"/>
    <w:p w:rsidR="009739E8" w:rsidRDefault="00690523" w:rsidP="00C37A5E">
      <w:r>
        <w:t>La</w:t>
      </w:r>
      <w:r w:rsidR="009739E8">
        <w:t>s</w:t>
      </w:r>
      <w:r>
        <w:t xml:space="preserve"> actividades económic</w:t>
      </w:r>
      <w:r w:rsidR="009739E8">
        <w:t>a</w:t>
      </w:r>
      <w:r>
        <w:t>s o giros específicos que incluyen y/o excluyen cada un</w:t>
      </w:r>
      <w:r w:rsidR="009739E8">
        <w:t>a</w:t>
      </w:r>
      <w:r>
        <w:t xml:space="preserve"> de las clasificaciones antes mencionadas, serán las que </w:t>
      </w:r>
      <w:r w:rsidR="006A1C99">
        <w:t>se encuentren publicadas en</w:t>
      </w:r>
      <w:r>
        <w:t xml:space="preserve"> el </w:t>
      </w:r>
      <w:r w:rsidR="00F87349">
        <w:t>catálogo</w:t>
      </w:r>
      <w:r w:rsidR="006A1C99">
        <w:t xml:space="preserve">vigente del Sistema de Clasificación Industrial </w:t>
      </w:r>
      <w:r w:rsidR="00F87349">
        <w:t>deAmérica</w:t>
      </w:r>
      <w:r w:rsidR="006A1C99">
        <w:t xml:space="preserve"> del Norte</w:t>
      </w:r>
      <w:r>
        <w:t xml:space="preserve">publicado </w:t>
      </w:r>
      <w:r w:rsidR="00CC4B3D">
        <w:t xml:space="preserve">por el Instituto Nacional </w:t>
      </w:r>
      <w:r w:rsidR="009739E8">
        <w:t>d</w:t>
      </w:r>
      <w:r w:rsidR="00CC4B3D">
        <w:t>e Estadística</w:t>
      </w:r>
      <w:r w:rsidR="009739E8">
        <w:t xml:space="preserve"> y Geografía en su página oficial</w:t>
      </w:r>
      <w:r w:rsidR="006A1C99">
        <w:t>.</w:t>
      </w:r>
    </w:p>
    <w:p w:rsidR="001E79AA" w:rsidRDefault="001E79AA" w:rsidP="00C37A5E"/>
    <w:p w:rsidR="00CE0C58" w:rsidRDefault="005F2BC6" w:rsidP="00C37A5E">
      <w:r>
        <w:t xml:space="preserve">Asimismo, queda a disposición de la autoridad municipal competente para la emisión de licencias de negocio, el actualizar el presente catálogo de giros de bajo riesgo para que a su consideración incremente o </w:t>
      </w:r>
      <w:r w:rsidR="009C386B">
        <w:t xml:space="preserve">disminuya la cantidad de giros previstos, en el entendido que dicho catalogo </w:t>
      </w:r>
      <w:r w:rsidR="00E219DF">
        <w:t xml:space="preserve">no deberá </w:t>
      </w:r>
      <w:r w:rsidR="009C386B">
        <w:t xml:space="preserve">contener un número inferior a </w:t>
      </w:r>
      <w:r w:rsidR="00E219DF">
        <w:t>300</w:t>
      </w:r>
      <w:r w:rsidR="009C386B">
        <w:t xml:space="preserve"> giros.</w:t>
      </w:r>
    </w:p>
    <w:p w:rsidR="001B33F1" w:rsidRDefault="001B33F1" w:rsidP="001B33F1">
      <w:pPr>
        <w:autoSpaceDE w:val="0"/>
        <w:autoSpaceDN w:val="0"/>
        <w:adjustRightInd w:val="0"/>
        <w:jc w:val="center"/>
        <w:rPr>
          <w:b/>
          <w:bCs/>
        </w:rPr>
      </w:pPr>
      <w:r>
        <w:rPr>
          <w:b/>
          <w:bCs/>
        </w:rPr>
        <w:t>Artículos Transitorios</w:t>
      </w:r>
    </w:p>
    <w:p w:rsidR="001B33F1" w:rsidRDefault="001B33F1" w:rsidP="001B33F1">
      <w:pPr>
        <w:autoSpaceDE w:val="0"/>
        <w:autoSpaceDN w:val="0"/>
        <w:adjustRightInd w:val="0"/>
        <w:jc w:val="center"/>
        <w:rPr>
          <w:b/>
          <w:bCs/>
        </w:rPr>
      </w:pPr>
    </w:p>
    <w:p w:rsidR="001B33F1" w:rsidRPr="004D4CBD" w:rsidRDefault="001B33F1" w:rsidP="001B33F1">
      <w:pPr>
        <w:autoSpaceDE w:val="0"/>
        <w:autoSpaceDN w:val="0"/>
        <w:adjustRightInd w:val="0"/>
        <w:rPr>
          <w:sz w:val="26"/>
          <w:szCs w:val="26"/>
        </w:rPr>
      </w:pPr>
      <w:r w:rsidRPr="004D4CBD">
        <w:rPr>
          <w:b/>
          <w:bCs/>
          <w:sz w:val="26"/>
          <w:szCs w:val="26"/>
        </w:rPr>
        <w:t>Primero</w:t>
      </w:r>
      <w:r w:rsidRPr="004D4CBD">
        <w:rPr>
          <w:sz w:val="26"/>
          <w:szCs w:val="26"/>
        </w:rPr>
        <w:t xml:space="preserve">. Publíquese la presente disposición en la </w:t>
      </w:r>
      <w:r w:rsidRPr="004D4CBD">
        <w:rPr>
          <w:i/>
          <w:iCs/>
          <w:sz w:val="26"/>
          <w:szCs w:val="26"/>
        </w:rPr>
        <w:t xml:space="preserve">Gaceta Municipal </w:t>
      </w:r>
      <w:r w:rsidRPr="004D4CBD">
        <w:rPr>
          <w:sz w:val="26"/>
          <w:szCs w:val="26"/>
        </w:rPr>
        <w:t>de Tototlán.</w:t>
      </w:r>
    </w:p>
    <w:p w:rsidR="001B33F1" w:rsidRPr="004D4CBD" w:rsidRDefault="001B33F1" w:rsidP="001B33F1">
      <w:pPr>
        <w:autoSpaceDE w:val="0"/>
        <w:autoSpaceDN w:val="0"/>
        <w:adjustRightInd w:val="0"/>
        <w:rPr>
          <w:sz w:val="26"/>
          <w:szCs w:val="26"/>
        </w:rPr>
      </w:pPr>
    </w:p>
    <w:p w:rsidR="001B33F1" w:rsidRPr="004D4CBD" w:rsidRDefault="001B33F1" w:rsidP="001B33F1">
      <w:pPr>
        <w:autoSpaceDE w:val="0"/>
        <w:autoSpaceDN w:val="0"/>
        <w:adjustRightInd w:val="0"/>
        <w:rPr>
          <w:sz w:val="26"/>
          <w:szCs w:val="26"/>
        </w:rPr>
      </w:pPr>
      <w:r w:rsidRPr="004D4CBD">
        <w:rPr>
          <w:b/>
          <w:bCs/>
          <w:sz w:val="26"/>
          <w:szCs w:val="26"/>
        </w:rPr>
        <w:t xml:space="preserve">Segundo. </w:t>
      </w:r>
      <w:r w:rsidRPr="004D4CBD">
        <w:rPr>
          <w:sz w:val="26"/>
          <w:szCs w:val="26"/>
        </w:rPr>
        <w:t xml:space="preserve">La presente disposición entrará en vigor al día siguiente de su publicación en la </w:t>
      </w:r>
      <w:r w:rsidRPr="004D4CBD">
        <w:rPr>
          <w:i/>
          <w:iCs/>
          <w:sz w:val="26"/>
          <w:szCs w:val="26"/>
        </w:rPr>
        <w:t xml:space="preserve">Gaceta Municipal </w:t>
      </w:r>
      <w:r w:rsidRPr="004D4CBD">
        <w:rPr>
          <w:sz w:val="26"/>
          <w:szCs w:val="26"/>
        </w:rPr>
        <w:t>de Tototlán.</w:t>
      </w:r>
    </w:p>
    <w:p w:rsidR="001B33F1" w:rsidRPr="004D4CBD" w:rsidRDefault="001B33F1" w:rsidP="001B33F1">
      <w:pPr>
        <w:autoSpaceDE w:val="0"/>
        <w:autoSpaceDN w:val="0"/>
        <w:adjustRightInd w:val="0"/>
        <w:rPr>
          <w:sz w:val="26"/>
          <w:szCs w:val="26"/>
        </w:rPr>
      </w:pPr>
    </w:p>
    <w:p w:rsidR="001B33F1" w:rsidRPr="004D4CBD" w:rsidRDefault="001B33F1" w:rsidP="001B33F1">
      <w:pPr>
        <w:autoSpaceDE w:val="0"/>
        <w:autoSpaceDN w:val="0"/>
        <w:adjustRightInd w:val="0"/>
        <w:rPr>
          <w:sz w:val="26"/>
          <w:szCs w:val="26"/>
        </w:rPr>
      </w:pPr>
      <w:r w:rsidRPr="004D4CBD">
        <w:rPr>
          <w:b/>
          <w:bCs/>
          <w:sz w:val="26"/>
          <w:szCs w:val="26"/>
        </w:rPr>
        <w:t>Tercero</w:t>
      </w:r>
      <w:r w:rsidRPr="004D4CBD">
        <w:rPr>
          <w:sz w:val="26"/>
          <w:szCs w:val="26"/>
        </w:rPr>
        <w:t xml:space="preserve">. Una vez publicada la presente disposición, se instruye al Secretario General para </w:t>
      </w:r>
      <w:r w:rsidRPr="004D4CBD">
        <w:rPr>
          <w:b/>
          <w:sz w:val="26"/>
          <w:szCs w:val="26"/>
        </w:rPr>
        <w:t>levantar la certificación correspondiente</w:t>
      </w:r>
      <w:r w:rsidRPr="004D4CBD">
        <w:rPr>
          <w:sz w:val="26"/>
          <w:szCs w:val="26"/>
        </w:rPr>
        <w:t xml:space="preserve"> y </w:t>
      </w:r>
      <w:r w:rsidRPr="004D4CBD">
        <w:rPr>
          <w:sz w:val="26"/>
          <w:szCs w:val="26"/>
        </w:rPr>
        <w:lastRenderedPageBreak/>
        <w:t>remita mediante oficio un tanto de ellas al Congreso del Estado de Jalisco, para los efectos ordenados en las fracciones VI y VII del artículo 42 de la Ley del Gobierno y la Administración Pública Municipal del Estado de Jalisco.</w:t>
      </w:r>
    </w:p>
    <w:p w:rsidR="001B33F1" w:rsidRDefault="001B33F1" w:rsidP="001B33F1">
      <w:pPr>
        <w:autoSpaceDE w:val="0"/>
        <w:autoSpaceDN w:val="0"/>
        <w:adjustRightInd w:val="0"/>
      </w:pPr>
      <w:r>
        <w:rPr>
          <w:rFonts w:ascii="Arial Black" w:hAnsi="Arial Black" w:cs="Arial Black"/>
          <w:b/>
          <w:bCs/>
        </w:rPr>
        <w:t xml:space="preserve">El presente </w:t>
      </w:r>
      <w:r w:rsidR="00257D77">
        <w:rPr>
          <w:rFonts w:ascii="Arial Black" w:hAnsi="Arial Black" w:cs="Arial Black"/>
          <w:b/>
          <w:bCs/>
        </w:rPr>
        <w:t xml:space="preserve">catalogo </w:t>
      </w:r>
      <w:r>
        <w:rPr>
          <w:rFonts w:ascii="Arial Black" w:hAnsi="Arial Black" w:cs="Arial Black"/>
          <w:b/>
          <w:bCs/>
        </w:rPr>
        <w:t>fue aprobado en sesión ordinaria del Ayuntamiento celebrada el --- de Abril de 2021, promulgado el -- de abril de 2021 y publicado el ___ de Mayo de 2021 en la Gaceta Municipal.</w:t>
      </w:r>
    </w:p>
    <w:p w:rsidR="00F00466" w:rsidRDefault="00F00466" w:rsidP="00F00466">
      <w:pPr>
        <w:jc w:val="center"/>
        <w:rPr>
          <w:b/>
          <w:u w:val="single"/>
        </w:rPr>
      </w:pPr>
    </w:p>
    <w:p w:rsidR="00F00466" w:rsidRDefault="00F00466" w:rsidP="00F00466">
      <w:pPr>
        <w:jc w:val="center"/>
        <w:rPr>
          <w:b/>
          <w:u w:val="single"/>
        </w:rPr>
      </w:pPr>
    </w:p>
    <w:p w:rsidR="00F00466" w:rsidRDefault="00F00466" w:rsidP="00F00466">
      <w:pPr>
        <w:jc w:val="center"/>
        <w:rPr>
          <w:b/>
          <w:u w:val="single"/>
        </w:rPr>
      </w:pPr>
    </w:p>
    <w:p w:rsidR="00F00466" w:rsidRDefault="00F00466" w:rsidP="00F00466">
      <w:pPr>
        <w:jc w:val="center"/>
        <w:rPr>
          <w:b/>
          <w:u w:val="single"/>
        </w:rPr>
      </w:pPr>
    </w:p>
    <w:p w:rsidR="00F00466" w:rsidRDefault="00F00466" w:rsidP="00F00466">
      <w:pPr>
        <w:jc w:val="center"/>
        <w:rPr>
          <w:b/>
          <w:u w:val="single"/>
        </w:rPr>
      </w:pPr>
    </w:p>
    <w:p w:rsidR="00F00466" w:rsidRDefault="00F00466" w:rsidP="00F00466">
      <w:pPr>
        <w:jc w:val="center"/>
        <w:rPr>
          <w:b/>
          <w:u w:val="single"/>
        </w:rPr>
      </w:pPr>
      <w:r>
        <w:rPr>
          <w:b/>
          <w:u w:val="single"/>
        </w:rPr>
        <w:t>C. JUAN MANUEL LARA CASILLAS</w:t>
      </w:r>
    </w:p>
    <w:p w:rsidR="00F00466" w:rsidRDefault="00F00466" w:rsidP="00F00466">
      <w:pPr>
        <w:jc w:val="center"/>
        <w:rPr>
          <w:b/>
        </w:rPr>
      </w:pPr>
      <w:r>
        <w:rPr>
          <w:b/>
        </w:rPr>
        <w:t>PRESIDENTE MUNICIPAL INTERINO</w:t>
      </w:r>
    </w:p>
    <w:p w:rsidR="00F00466" w:rsidRDefault="00F00466" w:rsidP="00F00466">
      <w:pPr>
        <w:jc w:val="center"/>
        <w:rPr>
          <w:b/>
        </w:rPr>
      </w:pPr>
      <w:r>
        <w:rPr>
          <w:b/>
        </w:rPr>
        <w:t>Y PRESIDENTE DE LAS COMISIONES EDILICIAS DE</w:t>
      </w:r>
    </w:p>
    <w:p w:rsidR="00F00466" w:rsidRDefault="00F00466" w:rsidP="00F00466">
      <w:pPr>
        <w:jc w:val="center"/>
      </w:pPr>
      <w:r>
        <w:rPr>
          <w:b/>
        </w:rPr>
        <w:t>GOBERNACIÓN Y REGLAMENTOS</w:t>
      </w:r>
    </w:p>
    <w:p w:rsidR="001B33F1" w:rsidRPr="00C37A5E" w:rsidRDefault="001B33F1" w:rsidP="00C37A5E"/>
    <w:sectPr w:rsidR="001B33F1" w:rsidRPr="00C37A5E" w:rsidSect="005829F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493" w16cex:dateUtc="2020-09-29T20:43:00Z"/>
  <w16cex:commentExtensible w16cex:durableId="231DD4AF" w16cex:dateUtc="2020-09-29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F457B" w16cid:durableId="231DD493"/>
  <w16cid:commentId w16cid:paraId="5A298820" w16cid:durableId="231DD4AF"/>
  <w16cid:commentId w16cid:paraId="6B1DADA5" w16cid:durableId="233143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304"/>
    <w:multiLevelType w:val="hybridMultilevel"/>
    <w:tmpl w:val="8BD8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B5238"/>
    <w:multiLevelType w:val="hybridMultilevel"/>
    <w:tmpl w:val="1F74F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646D9"/>
    <w:multiLevelType w:val="hybridMultilevel"/>
    <w:tmpl w:val="47B0C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1975B1"/>
    <w:multiLevelType w:val="hybridMultilevel"/>
    <w:tmpl w:val="B956AA7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27F4BFC"/>
    <w:multiLevelType w:val="hybridMultilevel"/>
    <w:tmpl w:val="0486F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51155B"/>
    <w:multiLevelType w:val="hybridMultilevel"/>
    <w:tmpl w:val="FCC6C8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39862CC"/>
    <w:multiLevelType w:val="hybridMultilevel"/>
    <w:tmpl w:val="342AA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BE7CCE"/>
    <w:multiLevelType w:val="hybridMultilevel"/>
    <w:tmpl w:val="A5BCB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50AB3"/>
    <w:rsid w:val="00014CCC"/>
    <w:rsid w:val="00087F3C"/>
    <w:rsid w:val="0014553F"/>
    <w:rsid w:val="001B33F1"/>
    <w:rsid w:val="001E3420"/>
    <w:rsid w:val="001E79AA"/>
    <w:rsid w:val="00257D77"/>
    <w:rsid w:val="003433BD"/>
    <w:rsid w:val="00412C31"/>
    <w:rsid w:val="00413301"/>
    <w:rsid w:val="004C6C5A"/>
    <w:rsid w:val="004F048E"/>
    <w:rsid w:val="005829F0"/>
    <w:rsid w:val="005B74ED"/>
    <w:rsid w:val="005D25AD"/>
    <w:rsid w:val="005F2BC6"/>
    <w:rsid w:val="00650AB3"/>
    <w:rsid w:val="00690523"/>
    <w:rsid w:val="006A11D7"/>
    <w:rsid w:val="006A1C99"/>
    <w:rsid w:val="006A7A0B"/>
    <w:rsid w:val="0070612F"/>
    <w:rsid w:val="009739E8"/>
    <w:rsid w:val="009C386B"/>
    <w:rsid w:val="009D28A4"/>
    <w:rsid w:val="009D7670"/>
    <w:rsid w:val="00A66C4B"/>
    <w:rsid w:val="00A75037"/>
    <w:rsid w:val="00AA1775"/>
    <w:rsid w:val="00B1542C"/>
    <w:rsid w:val="00B855B5"/>
    <w:rsid w:val="00C37A5E"/>
    <w:rsid w:val="00C63B75"/>
    <w:rsid w:val="00CC20D8"/>
    <w:rsid w:val="00CC4B3D"/>
    <w:rsid w:val="00CE0C58"/>
    <w:rsid w:val="00D40E13"/>
    <w:rsid w:val="00D80A30"/>
    <w:rsid w:val="00DB3CD1"/>
    <w:rsid w:val="00E13114"/>
    <w:rsid w:val="00E219DF"/>
    <w:rsid w:val="00F00466"/>
    <w:rsid w:val="00F4754A"/>
    <w:rsid w:val="00F53A2C"/>
    <w:rsid w:val="00F87349"/>
    <w:rsid w:val="00FC5A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7A38"/>
  <w15:docId w15:val="{93188426-9EEA-401A-B91F-BAF6AD7F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30"/>
    <w:pPr>
      <w:spacing w:after="0" w:line="240" w:lineRule="auto"/>
      <w:jc w:val="both"/>
    </w:pPr>
    <w:rPr>
      <w:rFonts w:ascii="Arial" w:eastAsia="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A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AB3"/>
    <w:rPr>
      <w:rFonts w:ascii="Segoe UI" w:hAnsi="Segoe UI" w:cs="Segoe UI"/>
      <w:sz w:val="18"/>
      <w:szCs w:val="18"/>
    </w:rPr>
  </w:style>
  <w:style w:type="character" w:styleId="Refdecomentario">
    <w:name w:val="annotation reference"/>
    <w:basedOn w:val="Fuentedeprrafopredeter"/>
    <w:uiPriority w:val="99"/>
    <w:semiHidden/>
    <w:unhideWhenUsed/>
    <w:rsid w:val="00650AB3"/>
    <w:rPr>
      <w:sz w:val="16"/>
      <w:szCs w:val="16"/>
    </w:rPr>
  </w:style>
  <w:style w:type="paragraph" w:styleId="Textocomentario">
    <w:name w:val="annotation text"/>
    <w:basedOn w:val="Normal"/>
    <w:link w:val="TextocomentarioCar"/>
    <w:uiPriority w:val="99"/>
    <w:unhideWhenUsed/>
    <w:rsid w:val="00650AB3"/>
    <w:pPr>
      <w:spacing w:after="200"/>
    </w:pPr>
    <w:rPr>
      <w:sz w:val="20"/>
      <w:szCs w:val="20"/>
    </w:rPr>
  </w:style>
  <w:style w:type="character" w:customStyle="1" w:styleId="TextocomentarioCar">
    <w:name w:val="Texto comentario Car"/>
    <w:basedOn w:val="Fuentedeprrafopredeter"/>
    <w:link w:val="Textocomentario"/>
    <w:uiPriority w:val="99"/>
    <w:rsid w:val="00650AB3"/>
    <w:rPr>
      <w:rFonts w:ascii="Calibri" w:eastAsia="Calibri" w:hAnsi="Calibri" w:cs="Calibri"/>
      <w:sz w:val="20"/>
      <w:szCs w:val="20"/>
      <w:lang w:eastAsia="es-MX"/>
    </w:rPr>
  </w:style>
  <w:style w:type="paragraph" w:styleId="Prrafodelista">
    <w:name w:val="List Paragraph"/>
    <w:basedOn w:val="Normal"/>
    <w:uiPriority w:val="34"/>
    <w:qFormat/>
    <w:rsid w:val="00C37A5E"/>
    <w:pPr>
      <w:ind w:left="720"/>
      <w:contextualSpacing/>
    </w:pPr>
  </w:style>
  <w:style w:type="character" w:styleId="Hipervnculo">
    <w:name w:val="Hyperlink"/>
    <w:basedOn w:val="Fuentedeprrafopredeter"/>
    <w:uiPriority w:val="99"/>
    <w:semiHidden/>
    <w:unhideWhenUsed/>
    <w:rsid w:val="00DB3CD1"/>
    <w:rPr>
      <w:color w:val="0000FF"/>
      <w:u w:val="single"/>
    </w:rPr>
  </w:style>
  <w:style w:type="character" w:styleId="Hipervnculovisitado">
    <w:name w:val="FollowedHyperlink"/>
    <w:basedOn w:val="Fuentedeprrafopredeter"/>
    <w:uiPriority w:val="99"/>
    <w:semiHidden/>
    <w:unhideWhenUsed/>
    <w:rsid w:val="00DB3CD1"/>
    <w:rPr>
      <w:color w:val="0000FF"/>
      <w:u w:val="single"/>
    </w:rPr>
  </w:style>
  <w:style w:type="paragraph" w:customStyle="1" w:styleId="msonormal0">
    <w:name w:val="msonormal"/>
    <w:basedOn w:val="Normal"/>
    <w:rsid w:val="00DB3CD1"/>
    <w:pPr>
      <w:spacing w:before="100" w:beforeAutospacing="1" w:after="100" w:afterAutospacing="1"/>
      <w:jc w:val="left"/>
    </w:pPr>
    <w:rPr>
      <w:rFonts w:ascii="Times New Roman" w:eastAsia="Times New Roman" w:hAnsi="Times New Roman" w:cs="Times New Roman"/>
    </w:rPr>
  </w:style>
  <w:style w:type="paragraph" w:customStyle="1" w:styleId="xl65">
    <w:name w:val="xl65"/>
    <w:basedOn w:val="Normal"/>
    <w:rsid w:val="00DB3CD1"/>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6">
    <w:name w:val="xl66"/>
    <w:basedOn w:val="Normal"/>
    <w:rsid w:val="00DB3CD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7">
    <w:name w:val="xl67"/>
    <w:basedOn w:val="Normal"/>
    <w:rsid w:val="00DB3CD1"/>
    <w:pPr>
      <w:spacing w:before="100" w:beforeAutospacing="1" w:after="100" w:afterAutospacing="1"/>
      <w:jc w:val="left"/>
      <w:textAlignment w:val="center"/>
    </w:pPr>
    <w:rPr>
      <w:rFonts w:ascii="Times New Roman" w:eastAsia="Times New Roman" w:hAnsi="Times New Roman" w:cs="Times New Roman"/>
    </w:rPr>
  </w:style>
  <w:style w:type="paragraph" w:customStyle="1" w:styleId="xl68">
    <w:name w:val="xl68"/>
    <w:basedOn w:val="Normal"/>
    <w:rsid w:val="006A11D7"/>
    <w:pPr>
      <w:pBdr>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3">
    <w:name w:val="xl63"/>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4">
    <w:name w:val="xl64"/>
    <w:basedOn w:val="Normal"/>
    <w:rsid w:val="00412C31"/>
    <w:pPr>
      <w:pBdr>
        <w:top w:val="single" w:sz="4" w:space="0" w:color="000000"/>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9">
    <w:name w:val="xl69"/>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0">
    <w:name w:val="xl70"/>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1">
    <w:name w:val="xl71"/>
    <w:basedOn w:val="Normal"/>
    <w:rsid w:val="00412C31"/>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center"/>
    </w:pPr>
    <w:rPr>
      <w:rFonts w:eastAsia="Times New Roman"/>
      <w:sz w:val="20"/>
      <w:szCs w:val="20"/>
    </w:rPr>
  </w:style>
  <w:style w:type="paragraph" w:customStyle="1" w:styleId="xl72">
    <w:name w:val="xl72"/>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8097">
      <w:bodyDiv w:val="1"/>
      <w:marLeft w:val="0"/>
      <w:marRight w:val="0"/>
      <w:marTop w:val="0"/>
      <w:marBottom w:val="0"/>
      <w:divBdr>
        <w:top w:val="none" w:sz="0" w:space="0" w:color="auto"/>
        <w:left w:val="none" w:sz="0" w:space="0" w:color="auto"/>
        <w:bottom w:val="none" w:sz="0" w:space="0" w:color="auto"/>
        <w:right w:val="none" w:sz="0" w:space="0" w:color="auto"/>
      </w:divBdr>
    </w:div>
    <w:div w:id="315308532">
      <w:bodyDiv w:val="1"/>
      <w:marLeft w:val="0"/>
      <w:marRight w:val="0"/>
      <w:marTop w:val="0"/>
      <w:marBottom w:val="0"/>
      <w:divBdr>
        <w:top w:val="none" w:sz="0" w:space="0" w:color="auto"/>
        <w:left w:val="none" w:sz="0" w:space="0" w:color="auto"/>
        <w:bottom w:val="none" w:sz="0" w:space="0" w:color="auto"/>
        <w:right w:val="none" w:sz="0" w:space="0" w:color="auto"/>
      </w:divBdr>
    </w:div>
    <w:div w:id="413941375">
      <w:bodyDiv w:val="1"/>
      <w:marLeft w:val="0"/>
      <w:marRight w:val="0"/>
      <w:marTop w:val="0"/>
      <w:marBottom w:val="0"/>
      <w:divBdr>
        <w:top w:val="none" w:sz="0" w:space="0" w:color="auto"/>
        <w:left w:val="none" w:sz="0" w:space="0" w:color="auto"/>
        <w:bottom w:val="none" w:sz="0" w:space="0" w:color="auto"/>
        <w:right w:val="none" w:sz="0" w:space="0" w:color="auto"/>
      </w:divBdr>
    </w:div>
    <w:div w:id="731851495">
      <w:bodyDiv w:val="1"/>
      <w:marLeft w:val="0"/>
      <w:marRight w:val="0"/>
      <w:marTop w:val="0"/>
      <w:marBottom w:val="0"/>
      <w:divBdr>
        <w:top w:val="none" w:sz="0" w:space="0" w:color="auto"/>
        <w:left w:val="none" w:sz="0" w:space="0" w:color="auto"/>
        <w:bottom w:val="none" w:sz="0" w:space="0" w:color="auto"/>
        <w:right w:val="none" w:sz="0" w:space="0" w:color="auto"/>
      </w:divBdr>
    </w:div>
    <w:div w:id="1128087567">
      <w:bodyDiv w:val="1"/>
      <w:marLeft w:val="0"/>
      <w:marRight w:val="0"/>
      <w:marTop w:val="0"/>
      <w:marBottom w:val="0"/>
      <w:divBdr>
        <w:top w:val="none" w:sz="0" w:space="0" w:color="auto"/>
        <w:left w:val="none" w:sz="0" w:space="0" w:color="auto"/>
        <w:bottom w:val="none" w:sz="0" w:space="0" w:color="auto"/>
        <w:right w:val="none" w:sz="0" w:space="0" w:color="auto"/>
      </w:divBdr>
      <w:divsChild>
        <w:div w:id="2064669314">
          <w:marLeft w:val="864"/>
          <w:marRight w:val="0"/>
          <w:marTop w:val="0"/>
          <w:marBottom w:val="101"/>
          <w:divBdr>
            <w:top w:val="none" w:sz="0" w:space="0" w:color="auto"/>
            <w:left w:val="none" w:sz="0" w:space="0" w:color="auto"/>
            <w:bottom w:val="none" w:sz="0" w:space="0" w:color="auto"/>
            <w:right w:val="none" w:sz="0" w:space="0" w:color="auto"/>
          </w:divBdr>
        </w:div>
        <w:div w:id="1542742648">
          <w:marLeft w:val="864"/>
          <w:marRight w:val="0"/>
          <w:marTop w:val="0"/>
          <w:marBottom w:val="101"/>
          <w:divBdr>
            <w:top w:val="none" w:sz="0" w:space="0" w:color="auto"/>
            <w:left w:val="none" w:sz="0" w:space="0" w:color="auto"/>
            <w:bottom w:val="none" w:sz="0" w:space="0" w:color="auto"/>
            <w:right w:val="none" w:sz="0" w:space="0" w:color="auto"/>
          </w:divBdr>
        </w:div>
      </w:divsChild>
    </w:div>
    <w:div w:id="1207373536">
      <w:bodyDiv w:val="1"/>
      <w:marLeft w:val="0"/>
      <w:marRight w:val="0"/>
      <w:marTop w:val="0"/>
      <w:marBottom w:val="0"/>
      <w:divBdr>
        <w:top w:val="none" w:sz="0" w:space="0" w:color="auto"/>
        <w:left w:val="none" w:sz="0" w:space="0" w:color="auto"/>
        <w:bottom w:val="none" w:sz="0" w:space="0" w:color="auto"/>
        <w:right w:val="none" w:sz="0" w:space="0" w:color="auto"/>
      </w:divBdr>
    </w:div>
    <w:div w:id="1561284808">
      <w:bodyDiv w:val="1"/>
      <w:marLeft w:val="0"/>
      <w:marRight w:val="0"/>
      <w:marTop w:val="0"/>
      <w:marBottom w:val="0"/>
      <w:divBdr>
        <w:top w:val="none" w:sz="0" w:space="0" w:color="auto"/>
        <w:left w:val="none" w:sz="0" w:space="0" w:color="auto"/>
        <w:bottom w:val="none" w:sz="0" w:space="0" w:color="auto"/>
        <w:right w:val="none" w:sz="0" w:space="0" w:color="auto"/>
      </w:divBdr>
    </w:div>
    <w:div w:id="1611087026">
      <w:bodyDiv w:val="1"/>
      <w:marLeft w:val="0"/>
      <w:marRight w:val="0"/>
      <w:marTop w:val="0"/>
      <w:marBottom w:val="0"/>
      <w:divBdr>
        <w:top w:val="none" w:sz="0" w:space="0" w:color="auto"/>
        <w:left w:val="none" w:sz="0" w:space="0" w:color="auto"/>
        <w:bottom w:val="none" w:sz="0" w:space="0" w:color="auto"/>
        <w:right w:val="none" w:sz="0" w:space="0" w:color="auto"/>
      </w:divBdr>
    </w:div>
    <w:div w:id="1676347345">
      <w:bodyDiv w:val="1"/>
      <w:marLeft w:val="0"/>
      <w:marRight w:val="0"/>
      <w:marTop w:val="0"/>
      <w:marBottom w:val="0"/>
      <w:divBdr>
        <w:top w:val="none" w:sz="0" w:space="0" w:color="auto"/>
        <w:left w:val="none" w:sz="0" w:space="0" w:color="auto"/>
        <w:bottom w:val="none" w:sz="0" w:space="0" w:color="auto"/>
        <w:right w:val="none" w:sz="0" w:space="0" w:color="auto"/>
      </w:divBdr>
      <w:divsChild>
        <w:div w:id="1659725994">
          <w:marLeft w:val="864"/>
          <w:marRight w:val="0"/>
          <w:marTop w:val="0"/>
          <w:marBottom w:val="101"/>
          <w:divBdr>
            <w:top w:val="none" w:sz="0" w:space="0" w:color="auto"/>
            <w:left w:val="none" w:sz="0" w:space="0" w:color="auto"/>
            <w:bottom w:val="none" w:sz="0" w:space="0" w:color="auto"/>
            <w:right w:val="none" w:sz="0" w:space="0" w:color="auto"/>
          </w:divBdr>
        </w:div>
        <w:div w:id="2054885703">
          <w:marLeft w:val="864"/>
          <w:marRight w:val="0"/>
          <w:marTop w:val="0"/>
          <w:marBottom w:val="101"/>
          <w:divBdr>
            <w:top w:val="none" w:sz="0" w:space="0" w:color="auto"/>
            <w:left w:val="none" w:sz="0" w:space="0" w:color="auto"/>
            <w:bottom w:val="none" w:sz="0" w:space="0" w:color="auto"/>
            <w:right w:val="none" w:sz="0" w:space="0" w:color="auto"/>
          </w:divBdr>
        </w:div>
      </w:divsChild>
    </w:div>
    <w:div w:id="20528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4547</Words>
  <Characters>25009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Correa</dc:creator>
  <cp:keywords/>
  <dc:description/>
  <cp:lastModifiedBy>JEFATURA GABINETE</cp:lastModifiedBy>
  <cp:revision>33</cp:revision>
  <cp:lastPrinted>2021-06-10T19:48:00Z</cp:lastPrinted>
  <dcterms:created xsi:type="dcterms:W3CDTF">2020-10-01T15:08:00Z</dcterms:created>
  <dcterms:modified xsi:type="dcterms:W3CDTF">2021-06-10T19:50:00Z</dcterms:modified>
</cp:coreProperties>
</file>